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4BF47567" w:rsidR="00A70556" w:rsidRDefault="0057730A" w:rsidP="0057730A">
            <w:pPr>
              <w:spacing w:after="0" w:line="276" w:lineRule="auto"/>
            </w:pPr>
            <w:r>
              <w:t>Evaluación de Diseño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933E51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1283778A" w:rsidR="00B861E0" w:rsidRPr="00933E51" w:rsidRDefault="00933E51" w:rsidP="00A123E6">
            <w:pPr>
              <w:spacing w:after="0" w:line="276" w:lineRule="auto"/>
              <w:jc w:val="center"/>
              <w:rPr>
                <w:bCs/>
              </w:rPr>
            </w:pPr>
            <w:r w:rsidRPr="00933E51">
              <w:rPr>
                <w:bCs/>
              </w:rPr>
              <w:t>01/07/2023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1CDCA2AF" w:rsidR="00B861E0" w:rsidRPr="00933E51" w:rsidRDefault="00933E51" w:rsidP="00A123E6">
            <w:pPr>
              <w:spacing w:after="0" w:line="276" w:lineRule="auto"/>
              <w:jc w:val="center"/>
              <w:rPr>
                <w:bCs/>
              </w:rPr>
            </w:pPr>
            <w:r w:rsidRPr="00933E51">
              <w:rPr>
                <w:bCs/>
              </w:rPr>
              <w:t>31/12/</w:t>
            </w:r>
            <w:r>
              <w:rPr>
                <w:bCs/>
              </w:rPr>
              <w:t>20</w:t>
            </w:r>
            <w:r w:rsidRPr="00933E51">
              <w:rPr>
                <w:bCs/>
              </w:rPr>
              <w:t>23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933E51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0973F56B" w:rsidR="009F4211" w:rsidRPr="00933E51" w:rsidRDefault="00933E51" w:rsidP="009F4211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933E51">
              <w:rPr>
                <w:bCs/>
              </w:rPr>
              <w:t>Dr. Juan de Dios Trujillo, Director de Valor Agregado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2314EAE9" w:rsidR="00B920F2" w:rsidRDefault="00933E51" w:rsidP="00521401">
      <w:pPr>
        <w:pStyle w:val="Prrafodelista"/>
        <w:spacing w:after="0" w:line="276" w:lineRule="auto"/>
        <w:ind w:left="142"/>
        <w:jc w:val="both"/>
      </w:pPr>
      <w:r w:rsidRPr="00933E51">
        <w:t>Evaluar el diseño del Programa presupuestario (Pp) F066 Apoyo a Pequeños Productores para el Desarrollo de Capacidades Productivas / Atención a Productores de Frijol Grano como medida Emergente a la Comercialización de sus Cosechas Ciclo Agrícola Otoño-Invierno 2021-2022), partiendo del análisis del tipo de intervención seleccionado para el logro de sus objetivos y la valoración de sus elementos conceptuales y operativos, a efecto de identificar áreas de oportunidad y potenciar la mejora continua del Pp.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6BF5D336" w14:textId="77777777" w:rsidR="00933E51" w:rsidRDefault="00933E51" w:rsidP="00933E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problema o necesidad pública que justifica la creación o cambio sustancial del Pp.</w:t>
      </w:r>
    </w:p>
    <w:p w14:paraId="50B4AE09" w14:textId="77777777" w:rsidR="00933E51" w:rsidRDefault="00933E51" w:rsidP="00933E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pertinencia del diseño del Pp respecto al problema o necesidad pública que busca atender.</w:t>
      </w:r>
    </w:p>
    <w:p w14:paraId="3E856D01" w14:textId="77777777" w:rsidR="00933E51" w:rsidRDefault="00933E51" w:rsidP="00933E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Analizar la consistencia entre el diseño del Pp y la normatividad vigente aplicable. </w:t>
      </w:r>
    </w:p>
    <w:p w14:paraId="1FB3A21F" w14:textId="77777777" w:rsidR="00933E51" w:rsidRDefault="00933E51" w:rsidP="00933E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Analizar la contribución del Pp al cumplimiento de los objetivos de la planeación estatal, nacional y estratégicos. </w:t>
      </w:r>
    </w:p>
    <w:p w14:paraId="495F422C" w14:textId="77777777" w:rsidR="00933E51" w:rsidRDefault="00933E51" w:rsidP="00933E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posibles complementariedades o similitudes, así como riesgo de duplicidades con otros Pp de la APE.</w:t>
      </w:r>
    </w:p>
    <w:p w14:paraId="667A73B0" w14:textId="77777777" w:rsidR="00933E51" w:rsidRDefault="00933E51" w:rsidP="00933E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Analizar la consistencia del Instrumento de Seguimiento del Desempeño respecto al diseño del Pp.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588C6EFF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57730A">
        <w:t>Diseño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933E51" w:rsidRDefault="00581B4A" w:rsidP="00090637">
            <w:pPr>
              <w:spacing w:after="0" w:line="276" w:lineRule="auto"/>
              <w:jc w:val="center"/>
            </w:pPr>
            <w:r w:rsidRPr="00933E51">
              <w:t>Esquema de la Evaluación</w:t>
            </w:r>
          </w:p>
          <w:p w14:paraId="635641E2" w14:textId="65281CA0" w:rsidR="00581B4A" w:rsidRPr="00933E51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933E51">
              <w:t>d</w:t>
            </w:r>
            <w:r w:rsidR="0034573D" w:rsidRPr="00933E51">
              <w:t xml:space="preserve">e </w:t>
            </w:r>
            <w:r w:rsidR="0057730A">
              <w:t>Diseño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010F2EC8" w:rsidR="009E2400" w:rsidRDefault="009E2400">
      <w:pPr>
        <w:spacing w:after="0" w:line="240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12ED07A0" w:rsidR="00113BCD" w:rsidRDefault="00933E51" w:rsidP="00933E51">
      <w:pPr>
        <w:ind w:left="284"/>
        <w:jc w:val="both"/>
      </w:pPr>
      <w:r w:rsidRPr="00933E51">
        <w:t>Con la finalidad de dar soporte al establecimiento de un precio justo a la cosecha de frijol, el gobierno del estado de Sinaloa, impulsa un programa de apoyo en beneficio de los productores de frijol Grano, promoviendo y motivando a que los productores resguarden su cosecha en organismos acopiadores que reúnan condiciones para participar en el programa. Líneas de crédito y/o infraestructura de acopio, y que lo acrediten, apoyando con los costos de almacenamiento y conservación del frijol por un periodo de hasta 60 días.</w:t>
      </w:r>
    </w:p>
    <w:p w14:paraId="2A4A52AD" w14:textId="3894F812" w:rsidR="00933E51" w:rsidRDefault="00933E51" w:rsidP="00933E51">
      <w:pPr>
        <w:ind w:left="284"/>
        <w:jc w:val="both"/>
      </w:pPr>
      <w:r w:rsidRPr="00933E51">
        <w:t>El objetivo según las Reglas de Operación del Programa de “Atención a Productores de Frijol Grano como medida Emergente a la Comercialización de sus Cosechas Ciclo Agrícola Otoño-Invierno 2021-2022”, fue el siguiente: “Impulsar la rentabilidad y competitividad del cultivo de frijol del ciclo agrícola Otoño-Invierno 2021-2022 del Estado de Sinaloa, mediante un esquema de almacenamiento, conservación y aseguramiento de la cosecha de frijol, por un periodo de hasta 60 días en Centros de Acopio que se encuentren aptas para otorgar los servicios de almacenaje, conservación y aseguramiento del grano, para buscar mejores oportunidades de mercado en beneficio de los productores sinaloenses”.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5B210201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933E51">
        <w:rPr>
          <w:b/>
          <w:bCs/>
        </w:rPr>
        <w:t xml:space="preserve"> y Oportunidades:</w:t>
      </w:r>
    </w:p>
    <w:p w14:paraId="67EF2F54" w14:textId="7EDFEFED" w:rsidR="00933E51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Las Reglas de Operación del Pp definen el objetivo y la Población Objetivo.</w:t>
      </w:r>
    </w:p>
    <w:p w14:paraId="5DF79E1A" w14:textId="77777777" w:rsidR="00933E51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Muestra con los árboles del problema y objetivo la identificación de causas y efectos del Problema y Objetivo central.</w:t>
      </w:r>
    </w:p>
    <w:p w14:paraId="7F793D8F" w14:textId="77777777" w:rsidR="00933E51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permite la optimización de recursos.</w:t>
      </w:r>
    </w:p>
    <w:p w14:paraId="0983D7BA" w14:textId="693B894A" w:rsidR="00B72B03" w:rsidRPr="00B72B03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Se define una vinculación con PED 2022-2027 y ODS.</w:t>
      </w:r>
    </w:p>
    <w:p w14:paraId="5B3242D7" w14:textId="69C7BD33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933E51">
        <w:rPr>
          <w:b/>
          <w:bCs/>
        </w:rPr>
        <w:t xml:space="preserve"> y Amenazas</w:t>
      </w:r>
      <w:r w:rsidRPr="003E1018">
        <w:rPr>
          <w:b/>
          <w:bCs/>
        </w:rPr>
        <w:t>:</w:t>
      </w:r>
    </w:p>
    <w:p w14:paraId="633EE558" w14:textId="77777777" w:rsidR="00933E51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Diagnóstico no permite identificar los elementos descritos en el documento los Aspectos a Considerar.</w:t>
      </w:r>
    </w:p>
    <w:p w14:paraId="7EF14C30" w14:textId="21E19D62" w:rsidR="00933E51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descripción del problema no es precisa y clara.</w:t>
      </w:r>
    </w:p>
    <w:p w14:paraId="0A04CADF" w14:textId="3C89EE37" w:rsidR="00933E51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problema o necesidad pública que pretende atender el Pp no muestra ni define la evolución que el problema ha experimentado ni menciona datos para el ejercicio fiscal evaluado</w:t>
      </w:r>
      <w:r w:rsidR="00911332">
        <w:t>, asi</w:t>
      </w:r>
      <w:r>
        <w:t>mismo, no se encuentra contextualizado en la situación socioeconómica actual del estado, según información o estadísticas oficiales disponibles.</w:t>
      </w:r>
    </w:p>
    <w:p w14:paraId="74E7832F" w14:textId="77777777" w:rsidR="00933E51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Diagnóstico donde se identificó el problema y posterior se sustenta en la elaboración de un árbol del problema.</w:t>
      </w:r>
    </w:p>
    <w:p w14:paraId="70A0886C" w14:textId="690E766F" w:rsidR="00933E51" w:rsidRDefault="005B65D3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</w:t>
      </w:r>
      <w:r w:rsidR="00933E51">
        <w:t>os centros acopiadores la UR no mostró evidencia de la emisión del documento de autorización foliado, en favor de los Organismos Acopiadores.</w:t>
      </w:r>
    </w:p>
    <w:p w14:paraId="599E9C3B" w14:textId="77777777" w:rsidR="00933E51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no realiza una cuantificación de ningún tipo de población, y erróneamente se consideran a los Organismos Acopiadores como población objetivo del programa en las Reglas de Operación siendo estos un medio para proporcionar el servicio con el cual se apoya a los productores.</w:t>
      </w:r>
    </w:p>
    <w:p w14:paraId="34DC6D29" w14:textId="57BF0446" w:rsidR="00933E51" w:rsidRDefault="00324652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>L</w:t>
      </w:r>
      <w:r w:rsidR="00933E51">
        <w:t>a información financiera sobre el presupuesto asignado, así como los informes del ejercicio trimestral del gasto la UR no mostró evidencia o mecanismo que ayude a transparentar la información financiera.</w:t>
      </w:r>
    </w:p>
    <w:p w14:paraId="07547CB0" w14:textId="52670361" w:rsidR="00933E51" w:rsidRDefault="00324652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</w:t>
      </w:r>
      <w:r w:rsidR="00933E51">
        <w:t>a participación ciudadana en el proceso de toma de decisiones el Pp no mostró evidencia de mecanismos que contribuyan a la participación ciudadana en procesos de toma de decisiones.</w:t>
      </w:r>
    </w:p>
    <w:p w14:paraId="4F4027A8" w14:textId="3BB89640" w:rsidR="00933E51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programa no tiene MIR.</w:t>
      </w:r>
    </w:p>
    <w:p w14:paraId="6B3E28F4" w14:textId="77777777" w:rsidR="00933E51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Unidad Responsable no mostró un documento donde se cumplan con algunos de los criterios mencionados anteriormente, en términos de relevancia, claridad, economía y seguimiento.</w:t>
      </w:r>
    </w:p>
    <w:p w14:paraId="47C2EBBE" w14:textId="539B35CF" w:rsidR="00A165BB" w:rsidRPr="00A165BB" w:rsidRDefault="00933E51" w:rsidP="00933E5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Los Medios de Verificación de indicadores no definen nombre del documento, área administrativa o año en que se emite dicho documento.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1F36EB1" w14:textId="045BF81E" w:rsidR="00113BCD" w:rsidRDefault="00D06421" w:rsidP="00D06421">
      <w:pPr>
        <w:ind w:left="284"/>
        <w:jc w:val="both"/>
        <w:rPr>
          <w:lang w:val="es-ES"/>
        </w:rPr>
      </w:pPr>
      <w:r w:rsidRPr="00D06421">
        <w:rPr>
          <w:lang w:val="es-ES"/>
        </w:rPr>
        <w:t>La evaluación en materia de diseño se articula a través de 11 apartados y 29 preguntas estratégicas para los logros de sus objetivos generales y específicos.</w:t>
      </w:r>
    </w:p>
    <w:p w14:paraId="574A43DB" w14:textId="6D10C1A6" w:rsidR="00D06421" w:rsidRDefault="00D06421" w:rsidP="00D06421">
      <w:pPr>
        <w:ind w:left="284"/>
        <w:jc w:val="both"/>
        <w:rPr>
          <w:lang w:val="es-ES"/>
        </w:rPr>
      </w:pPr>
      <w:r w:rsidRPr="00D06421">
        <w:rPr>
          <w:lang w:val="es-ES"/>
        </w:rPr>
        <w:t>La evaluación se realizará principalmente mediante análisis de gabinete con base en la información y fuentes primarias proporcionadas por la dependencia o entidad responsable del Pp, así como información y estadísticas públicas oficiales y demás información que la instancia evaluadora considere necesaria para desarrollar y justificar el análisis.</w:t>
      </w:r>
    </w:p>
    <w:p w14:paraId="60EFB55A" w14:textId="77777777" w:rsidR="00D06421" w:rsidRPr="00D06421" w:rsidRDefault="00D06421" w:rsidP="00D06421">
      <w:pPr>
        <w:ind w:left="284"/>
        <w:jc w:val="both"/>
        <w:rPr>
          <w:lang w:val="es-ES"/>
        </w:rPr>
      </w:pPr>
      <w:r w:rsidRPr="00D06421">
        <w:rPr>
          <w:lang w:val="es-ES"/>
        </w:rPr>
        <w:t xml:space="preserve">El proceso de evaluación del diseño del programa presupuestal del Programa de “Apoyo a Pequeños Productores para el Desarrollo de Capacidades Productivas”, tuvo por objeto analizar y valorar el diseño del programa presupuestario con la finalidad de identificar si contiene los elementos necesarios que permitan prever, de manera razonable, el logro de sus metas y objetivos a efecto de instrumentar mejoras. </w:t>
      </w:r>
    </w:p>
    <w:p w14:paraId="670D1E6D" w14:textId="77777777" w:rsidR="00D06421" w:rsidRPr="00D06421" w:rsidRDefault="00D06421" w:rsidP="00D06421">
      <w:pPr>
        <w:ind w:left="284"/>
        <w:jc w:val="both"/>
        <w:rPr>
          <w:lang w:val="es-ES"/>
        </w:rPr>
      </w:pPr>
      <w:r w:rsidRPr="00D06421">
        <w:rPr>
          <w:lang w:val="es-ES"/>
        </w:rPr>
        <w:t>En este sentido, es preciso destacar que el alcance de la evaluación está ceñido por el programa “Atención a Productores de Frijol Grano como medida Emergente a la Comercialización de sus Cosechas Ciclo Agrícola Otoño-invierno 2021-2022” objeto de evaluación, en la medida en la que éstos contribuyen al objetivo del programa; también está acotado a la Secretaría de Agricultura y Ganadería, instancia que tiene a su cargo la ejecución de dichos proyectos.</w:t>
      </w:r>
    </w:p>
    <w:p w14:paraId="7D55288A" w14:textId="77777777" w:rsidR="00D06421" w:rsidRPr="00D06421" w:rsidRDefault="00D06421" w:rsidP="00D06421">
      <w:pPr>
        <w:ind w:left="284"/>
        <w:jc w:val="both"/>
        <w:rPr>
          <w:lang w:val="es-ES"/>
        </w:rPr>
      </w:pPr>
      <w:r w:rsidRPr="00D06421">
        <w:rPr>
          <w:lang w:val="es-ES"/>
        </w:rPr>
        <w:t xml:space="preserve">En virtud de que el diseño de la MIR no está en documento publicado, existen algunas limitaciones para valorar y visualizar en todas sus dimensiones el diseño de los proyectos objeto de evaluación, por ello, se recurre con frecuencia a documentos normativos que refieran datos más específicos, como son los programas anuales, su seguimiento y evaluación, reglamento y manual de organización, entre otros. </w:t>
      </w:r>
    </w:p>
    <w:p w14:paraId="47013A62" w14:textId="77777777" w:rsidR="00D06421" w:rsidRPr="00D06421" w:rsidRDefault="00D06421" w:rsidP="00D06421">
      <w:pPr>
        <w:ind w:left="284"/>
        <w:jc w:val="both"/>
        <w:rPr>
          <w:lang w:val="es-ES"/>
        </w:rPr>
      </w:pPr>
      <w:r w:rsidRPr="00D06421">
        <w:rPr>
          <w:lang w:val="es-ES"/>
        </w:rPr>
        <w:t xml:space="preserve">En este sentido se reconoce en principio el esfuerzo de la autoridad responsable y la ejecutora por diseñar el programa presupuestal con la Metodología del Marco Lógico para el ejercicio 2022, que, si bien presenta algunas imprecisiones y limitaciones, algunas de éstas ya han sido superadas en la MIR diseñada para los ejercicios siguientes. </w:t>
      </w:r>
    </w:p>
    <w:p w14:paraId="15298C02" w14:textId="19074D0D" w:rsidR="00D06421" w:rsidRPr="00D06421" w:rsidRDefault="00D06421" w:rsidP="00D06421">
      <w:pPr>
        <w:ind w:left="284"/>
        <w:jc w:val="both"/>
        <w:rPr>
          <w:lang w:val="es-ES"/>
        </w:rPr>
      </w:pPr>
      <w:r w:rsidRPr="00D06421">
        <w:rPr>
          <w:lang w:val="es-ES"/>
        </w:rPr>
        <w:t xml:space="preserve">Entre las debilidades identificadas en el diseño del programa es posible citar imperfecciones en la identificación del problema central, sus causas y efectos, en la definición de sus poblaciones potencial y </w:t>
      </w:r>
      <w:r w:rsidRPr="00D06421">
        <w:rPr>
          <w:lang w:val="es-ES"/>
        </w:rPr>
        <w:lastRenderedPageBreak/>
        <w:t>objetivo, es decir, en los municipios del Estado de Sinaloa, que constituyen su área de enfoque, carece de una metodología explícita</w:t>
      </w:r>
      <w:r w:rsidR="005B65D3">
        <w:rPr>
          <w:lang w:val="es-ES"/>
        </w:rPr>
        <w:t>.</w:t>
      </w:r>
      <w:r w:rsidRPr="00D06421">
        <w:rPr>
          <w:lang w:val="es-ES"/>
        </w:rPr>
        <w:t xml:space="preserve"> </w:t>
      </w:r>
    </w:p>
    <w:p w14:paraId="36E1DE0A" w14:textId="75ECEA5C" w:rsidR="00D06421" w:rsidRDefault="00D06421" w:rsidP="00D06421">
      <w:pPr>
        <w:ind w:left="284"/>
        <w:jc w:val="both"/>
        <w:rPr>
          <w:lang w:val="es-ES"/>
        </w:rPr>
      </w:pPr>
      <w:r w:rsidRPr="00D06421">
        <w:rPr>
          <w:lang w:val="es-ES"/>
        </w:rPr>
        <w:t>También se identificaron inconsistencias en la construcción horizontal relacionadas con el diseño de indicadores, su denominación, fórmula de cálculo, medios de verificación y supuestos, por lo que se consideró que, algunos de los conjuntos establecidos en la MIR, reúnen las características adecuadas para evaluar el logro de los objetivos del resumen narrativo y sustentar sus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9B4703B" w14:textId="2C8F89BD" w:rsidR="006E67EA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D06421">
        <w:t>Cuantificar la población objetivo.</w:t>
      </w:r>
    </w:p>
    <w:p w14:paraId="19A3D328" w14:textId="43400161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D06421">
        <w:t>Elaborar una MIR y publicarla en el Tomo IV de la Ley de Ingresos y Presupuesto de Egresos del Estado.</w:t>
      </w:r>
    </w:p>
    <w:p w14:paraId="0981AF86" w14:textId="60070694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D06421">
        <w:t>Establecer metas y objetivos a través de una Matriz de Indicadores para Resultados y ubicar el Fin desea contribuir.</w:t>
      </w:r>
    </w:p>
    <w:p w14:paraId="089433F6" w14:textId="7ED6D8B5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D06421">
        <w:t>Mencionar como contribuyen a los ODS con los resultados del Pp</w:t>
      </w:r>
      <w:r>
        <w:t>.</w:t>
      </w:r>
    </w:p>
    <w:p w14:paraId="5D3F4BD1" w14:textId="77777777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Establecer un diagnóstico que permita identificar los elementos descritos en los Aspectos a Considerar.</w:t>
      </w:r>
    </w:p>
    <w:p w14:paraId="604C7A59" w14:textId="6BA52DE1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un nuevo documento de la UR responsable del programa y considerar los elementos de la MML.</w:t>
      </w:r>
    </w:p>
    <w:p w14:paraId="70FE97F9" w14:textId="77777777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Elaborar una justificación y análisis para cuantificar la evolución de las poblaciones potencial y objetivo y se definan metas acordes a las posibilidades presupuestarias del programa. </w:t>
      </w:r>
    </w:p>
    <w:p w14:paraId="72191E05" w14:textId="77777777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 relación causal de los aspectos que generan el problema y de los efectos que promueven en apego a lo establecido en la Guía MIR y la Guía Indicadores de la SHCP.</w:t>
      </w:r>
    </w:p>
    <w:p w14:paraId="48A19BAE" w14:textId="3AC30952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Elaborar evidencia de la autorización foliadas de los centros de acopio.</w:t>
      </w:r>
    </w:p>
    <w:p w14:paraId="7ADE3168" w14:textId="77777777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Definir una estrategia y metodología para delimitar sus poblaciones y realice un diagnóstico de la evolución de la cobertura de las poblaciones. </w:t>
      </w:r>
    </w:p>
    <w:p w14:paraId="444B8F9B" w14:textId="77777777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Implementar un mecanismo que transparente de manera trimestral el uso de este recurso.</w:t>
      </w:r>
    </w:p>
    <w:p w14:paraId="21D11310" w14:textId="77777777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Realizar esfuerzos para incorporar en próximos ejercicios la participación de la ciudadanía. </w:t>
      </w:r>
    </w:p>
    <w:p w14:paraId="6CD519E9" w14:textId="77777777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MIR que permita obtener información sobre la generación y/o entrega de los bienes y/o servicios o algún un indicador de gestión y estratégico.</w:t>
      </w:r>
    </w:p>
    <w:p w14:paraId="464FFC53" w14:textId="77777777" w:rsidR="00D06421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Establecer un documento que mencione establezca los criterios CREMA del ISD del Pp.</w:t>
      </w:r>
    </w:p>
    <w:p w14:paraId="616B43F8" w14:textId="058FDF96" w:rsidR="00D06421" w:rsidRPr="006E67EA" w:rsidRDefault="00D06421" w:rsidP="00D0642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Medios de verificación de los indicadores de acuerdo con la Metodología Establecida por la SHCP. Que contengan: nombre del documento, área administrativa o año en que se emite dicho documento y liga donde se ubica la información.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lastRenderedPageBreak/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6BFBAFE4" w:rsidR="007C4CD6" w:rsidRPr="00521401" w:rsidRDefault="00D06421" w:rsidP="00D06421">
            <w:pPr>
              <w:spacing w:after="0" w:line="276" w:lineRule="auto"/>
              <w:ind w:left="179"/>
            </w:pPr>
            <w:r>
              <w:t>Apoyo a pequeños productores para el desarrollo de capacidades productivas / atención a productores de frijol grano como medida emergente a la comercialización de su cosecha ciclo agrícola otoño-invierno 2021-2022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5DB8A0CF" w:rsidR="007C4CD6" w:rsidRPr="007C4CD6" w:rsidRDefault="00D06421" w:rsidP="00521401">
            <w:pPr>
              <w:spacing w:after="0" w:line="276" w:lineRule="auto"/>
              <w:ind w:left="179"/>
            </w:pPr>
            <w:r>
              <w:t>APPDCP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4BB3A455" w:rsidR="007C4CD6" w:rsidRPr="007C4CD6" w:rsidRDefault="00D06421" w:rsidP="00521401">
            <w:pPr>
              <w:spacing w:after="0" w:line="276" w:lineRule="auto"/>
              <w:ind w:left="179"/>
            </w:pPr>
            <w:r w:rsidRPr="00D06421">
              <w:t>Secretaría de Agricultura y Ganadería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1159FC39" w:rsidR="005A28B9" w:rsidRPr="00A16BE7" w:rsidRDefault="00D06421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911332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1C3931CF" w:rsidR="00090637" w:rsidRPr="00090637" w:rsidRDefault="00911332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911332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760F3588" w:rsidR="005065B9" w:rsidRPr="00521401" w:rsidRDefault="00911332" w:rsidP="005065B9">
            <w:pPr>
              <w:spacing w:after="0" w:line="276" w:lineRule="auto"/>
              <w:ind w:left="179"/>
            </w:pPr>
            <w:r w:rsidRPr="00911332">
              <w:t>Francisco Javier Gálvez Armenta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911332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69C2EEC6" w:rsidR="00A4624B" w:rsidRPr="007301C5" w:rsidRDefault="00911332" w:rsidP="00A4624B">
            <w:pPr>
              <w:spacing w:after="0" w:line="276" w:lineRule="auto"/>
              <w:ind w:left="179"/>
            </w:pPr>
            <w:hyperlink r:id="rId9" w:history="1">
              <w:r w:rsidRPr="00571D22">
                <w:rPr>
                  <w:rStyle w:val="Hipervnculo"/>
                </w:rPr>
                <w:t>francisco.galvez@sinaloa.gob.mx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911332" w14:paraId="3C5D9DC6" w14:textId="77777777" w:rsidTr="00911332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7E27C3D4" w:rsidR="00911332" w:rsidRPr="007301C5" w:rsidRDefault="00911332" w:rsidP="00911332">
            <w:pPr>
              <w:spacing w:after="0" w:line="276" w:lineRule="auto"/>
              <w:ind w:left="179"/>
            </w:pPr>
            <w:r>
              <w:t>Dirección de Mercados</w:t>
            </w:r>
          </w:p>
        </w:tc>
      </w:tr>
      <w:tr w:rsidR="00911332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911332" w:rsidRPr="00A753A2" w:rsidRDefault="00911332" w:rsidP="00911332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911332" w14:paraId="49F6EF2F" w14:textId="77777777" w:rsidTr="00911332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0FBEDA8C" w:rsidR="00911332" w:rsidRPr="007301C5" w:rsidRDefault="00911332" w:rsidP="00911332">
            <w:pPr>
              <w:spacing w:after="0" w:line="276" w:lineRule="auto"/>
              <w:ind w:left="179"/>
            </w:pPr>
            <w:r w:rsidRPr="002B15B2">
              <w:t>667</w:t>
            </w:r>
            <w:r>
              <w:t xml:space="preserve"> </w:t>
            </w:r>
            <w:r w:rsidRPr="002B15B2">
              <w:t>758</w:t>
            </w:r>
            <w:r>
              <w:t xml:space="preserve"> </w:t>
            </w:r>
            <w:r w:rsidRPr="002B15B2">
              <w:t>70</w:t>
            </w:r>
            <w:r>
              <w:t xml:space="preserve"> 00 E</w:t>
            </w:r>
            <w:r w:rsidRPr="002B15B2">
              <w:t>xt</w:t>
            </w:r>
            <w:r>
              <w:t>.</w:t>
            </w:r>
            <w:r w:rsidRPr="002B15B2">
              <w:t xml:space="preserve"> 40188</w:t>
            </w:r>
          </w:p>
        </w:tc>
      </w:tr>
    </w:tbl>
    <w:p w14:paraId="0E76469F" w14:textId="641245E3" w:rsidR="00911332" w:rsidRDefault="00911332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BA1AFC">
        <w:trPr>
          <w:trHeight w:val="340"/>
          <w:tblHeader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BA1AFC" w:rsidRPr="006C747D" w14:paraId="163531B5" w14:textId="77777777" w:rsidTr="00BA1AFC">
        <w:trPr>
          <w:trHeight w:val="42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BA1AFC" w:rsidRPr="00866990" w:rsidRDefault="00BA1AFC" w:rsidP="00BA1AFC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(especificar):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B14565B" w:rsidR="00BA1AFC" w:rsidRPr="00866990" w:rsidRDefault="00BA1AFC" w:rsidP="00BA1AFC">
            <w:pPr>
              <w:spacing w:after="0" w:line="240" w:lineRule="auto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lastRenderedPageBreak/>
              <w:t>Unidad Administrativa Responsable de Contratar la Evaluación:</w:t>
            </w:r>
          </w:p>
        </w:tc>
      </w:tr>
      <w:tr w:rsidR="00BA1AFC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16D4070E" w:rsidR="00BA1AFC" w:rsidRPr="00866990" w:rsidRDefault="00BA1AFC" w:rsidP="00BA1AFC">
            <w:pPr>
              <w:spacing w:after="0" w:line="276" w:lineRule="auto"/>
              <w:ind w:left="179"/>
            </w:pPr>
            <w:r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BA1AFC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51F60C54" w:rsidR="00BA1AFC" w:rsidRPr="00866990" w:rsidRDefault="00BA1AFC" w:rsidP="00BA1AFC">
            <w:pPr>
              <w:spacing w:after="0" w:line="276" w:lineRule="auto"/>
              <w:ind w:left="179"/>
            </w:pPr>
            <w: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BA1AFC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6B31274F" w:rsidR="00BA1AFC" w:rsidRPr="00866990" w:rsidRDefault="00BA1AFC" w:rsidP="00BA1AFC">
            <w:pPr>
              <w:spacing w:after="0" w:line="276" w:lineRule="auto"/>
              <w:ind w:left="179"/>
            </w:pPr>
            <w:r w:rsidRPr="00E02DCC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18552B54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911332">
          <w:rPr>
            <w:b/>
            <w:bCs/>
            <w:noProof/>
            <w:sz w:val="18"/>
            <w:szCs w:val="18"/>
          </w:rPr>
          <w:t>2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39BFDA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911332" w:rsidRPr="00911332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7pt;height:595.5pt" o:bullet="t">
        <v:imagedata r:id="rId1" o:title="03"/>
      </v:shape>
    </w:pict>
  </w:numPicBullet>
  <w:numPicBullet w:numPicBulletId="1">
    <w:pict>
      <v:shape id="_x0000_i1029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690033419">
    <w:abstractNumId w:val="23"/>
  </w:num>
  <w:num w:numId="2" w16cid:durableId="1888182668">
    <w:abstractNumId w:val="21"/>
  </w:num>
  <w:num w:numId="3" w16cid:durableId="760182302">
    <w:abstractNumId w:val="7"/>
  </w:num>
  <w:num w:numId="4" w16cid:durableId="1423454247">
    <w:abstractNumId w:val="19"/>
  </w:num>
  <w:num w:numId="5" w16cid:durableId="2119984289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945725465">
    <w:abstractNumId w:val="27"/>
  </w:num>
  <w:num w:numId="7" w16cid:durableId="279264046">
    <w:abstractNumId w:val="28"/>
  </w:num>
  <w:num w:numId="8" w16cid:durableId="400950580">
    <w:abstractNumId w:val="29"/>
  </w:num>
  <w:num w:numId="9" w16cid:durableId="1451625243">
    <w:abstractNumId w:val="20"/>
  </w:num>
  <w:num w:numId="10" w16cid:durableId="1369525188">
    <w:abstractNumId w:val="12"/>
  </w:num>
  <w:num w:numId="11" w16cid:durableId="1671447492">
    <w:abstractNumId w:val="14"/>
  </w:num>
  <w:num w:numId="12" w16cid:durableId="630018853">
    <w:abstractNumId w:val="26"/>
  </w:num>
  <w:num w:numId="13" w16cid:durableId="1309940718">
    <w:abstractNumId w:val="25"/>
  </w:num>
  <w:num w:numId="14" w16cid:durableId="705446781">
    <w:abstractNumId w:val="22"/>
  </w:num>
  <w:num w:numId="15" w16cid:durableId="1293637763">
    <w:abstractNumId w:val="16"/>
  </w:num>
  <w:num w:numId="16" w16cid:durableId="1966502507">
    <w:abstractNumId w:val="4"/>
  </w:num>
  <w:num w:numId="17" w16cid:durableId="200679418">
    <w:abstractNumId w:val="6"/>
  </w:num>
  <w:num w:numId="18" w16cid:durableId="732771566">
    <w:abstractNumId w:val="17"/>
  </w:num>
  <w:num w:numId="19" w16cid:durableId="1893346299">
    <w:abstractNumId w:val="15"/>
  </w:num>
  <w:num w:numId="20" w16cid:durableId="66925980">
    <w:abstractNumId w:val="5"/>
  </w:num>
  <w:num w:numId="21" w16cid:durableId="718935542">
    <w:abstractNumId w:val="3"/>
  </w:num>
  <w:num w:numId="22" w16cid:durableId="58092445">
    <w:abstractNumId w:val="13"/>
  </w:num>
  <w:num w:numId="23" w16cid:durableId="1832404605">
    <w:abstractNumId w:val="24"/>
  </w:num>
  <w:num w:numId="24" w16cid:durableId="2061589133">
    <w:abstractNumId w:val="11"/>
  </w:num>
  <w:num w:numId="25" w16cid:durableId="775057555">
    <w:abstractNumId w:val="18"/>
  </w:num>
  <w:num w:numId="26" w16cid:durableId="1678577409">
    <w:abstractNumId w:val="8"/>
  </w:num>
  <w:num w:numId="27" w16cid:durableId="1219854138">
    <w:abstractNumId w:val="10"/>
  </w:num>
  <w:num w:numId="28" w16cid:durableId="1467821436">
    <w:abstractNumId w:val="0"/>
  </w:num>
  <w:num w:numId="29" w16cid:durableId="1822844577">
    <w:abstractNumId w:val="9"/>
  </w:num>
  <w:num w:numId="30" w16cid:durableId="189230189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9491B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4652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4F1BC2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0A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5D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332"/>
    <w:rsid w:val="0091170D"/>
    <w:rsid w:val="00915DBE"/>
    <w:rsid w:val="009160E1"/>
    <w:rsid w:val="0092465C"/>
    <w:rsid w:val="00925C75"/>
    <w:rsid w:val="009263AC"/>
    <w:rsid w:val="00933E51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2400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AFC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06421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1A7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cisco.galvez@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0112-C7A0-4334-93EC-B03C630F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53</TotalTime>
  <Pages>6</Pages>
  <Words>2046</Words>
  <Characters>11257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17</cp:revision>
  <cp:lastPrinted>2022-06-17T19:35:00Z</cp:lastPrinted>
  <dcterms:created xsi:type="dcterms:W3CDTF">2022-12-06T19:20:00Z</dcterms:created>
  <dcterms:modified xsi:type="dcterms:W3CDTF">2025-01-09T20:55:00Z</dcterms:modified>
</cp:coreProperties>
</file>